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A0" w:rsidRDefault="004628A0" w:rsidP="004628A0">
      <w:pPr>
        <w:ind w:left="-567"/>
        <w:rPr>
          <w:rFonts w:ascii="Arial" w:eastAsia="Calibri" w:hAnsi="Arial" w:cs="Arial"/>
          <w:b/>
          <w:color w:val="FF9933"/>
          <w:sz w:val="40"/>
        </w:rPr>
      </w:pPr>
      <w:bookmarkStart w:id="0" w:name="_GoBack"/>
      <w:bookmarkEnd w:id="0"/>
      <w:r w:rsidRPr="004628A0">
        <w:rPr>
          <w:rFonts w:ascii="Arial" w:eastAsia="Calibri" w:hAnsi="Arial" w:cs="Arial"/>
          <w:b/>
          <w:color w:val="FF9933"/>
          <w:sz w:val="40"/>
        </w:rPr>
        <w:t>Plan wynikowy</w:t>
      </w:r>
    </w:p>
    <w:p w:rsidR="004628A0" w:rsidRPr="004628A0" w:rsidRDefault="004628A0" w:rsidP="004628A0">
      <w:pPr>
        <w:ind w:left="-567"/>
        <w:jc w:val="both"/>
        <w:rPr>
          <w:rFonts w:ascii="Arial" w:hAnsi="Arial" w:cs="Arial"/>
          <w:sz w:val="20"/>
          <w:szCs w:val="20"/>
        </w:rPr>
      </w:pPr>
      <w:r w:rsidRPr="004628A0">
        <w:rPr>
          <w:rFonts w:ascii="Arial" w:hAnsi="Arial" w:cs="Arial"/>
          <w:sz w:val="20"/>
          <w:szCs w:val="20"/>
        </w:rPr>
        <w:t xml:space="preserve">Poniżej zestawiono czasowniki operacyjne opisujące zamierzone osiągnięcia ucznia po realizacji poszczególnych działów programowych. W spisie tym uwzględniono wszystkie wymagania szczegółowe zawarte w podstawie programowej oraz założenia sposobu ich realizacji wynikające z celów ogólnych oraz komentarzy do podstawy programowej. Podział osiągnięć na podstawowe i ponadpodstawowe jest względny. Ten zaproponowany został oparty na kategoriach </w:t>
      </w:r>
      <w:proofErr w:type="spellStart"/>
      <w:r w:rsidRPr="004628A0">
        <w:rPr>
          <w:rFonts w:ascii="Arial" w:hAnsi="Arial" w:cs="Arial"/>
          <w:sz w:val="20"/>
          <w:szCs w:val="20"/>
        </w:rPr>
        <w:t>Blooma</w:t>
      </w:r>
      <w:proofErr w:type="spellEnd"/>
      <w:r w:rsidRPr="004628A0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4628A0">
        <w:rPr>
          <w:rFonts w:ascii="Arial" w:hAnsi="Arial" w:cs="Arial"/>
          <w:sz w:val="20"/>
          <w:szCs w:val="20"/>
        </w:rPr>
        <w:t>Niemierki</w:t>
      </w:r>
      <w:proofErr w:type="spellEnd"/>
      <w:r w:rsidRPr="004628A0">
        <w:rPr>
          <w:rFonts w:ascii="Arial" w:hAnsi="Arial" w:cs="Arial"/>
          <w:sz w:val="20"/>
          <w:szCs w:val="20"/>
        </w:rPr>
        <w:t xml:space="preserve">. Zaproponowane osiągnięcia podstawowe pochodzą z kategorii </w:t>
      </w:r>
      <w:proofErr w:type="spellStart"/>
      <w:r w:rsidRPr="004628A0">
        <w:rPr>
          <w:rFonts w:ascii="Arial" w:hAnsi="Arial" w:cs="Arial"/>
          <w:sz w:val="20"/>
          <w:szCs w:val="20"/>
        </w:rPr>
        <w:t>Blooma</w:t>
      </w:r>
      <w:proofErr w:type="spellEnd"/>
      <w:r w:rsidRPr="004628A0">
        <w:rPr>
          <w:rFonts w:ascii="Arial" w:hAnsi="Arial" w:cs="Arial"/>
          <w:sz w:val="20"/>
          <w:szCs w:val="20"/>
        </w:rPr>
        <w:t xml:space="preserve">: wiadomości, rozumienie i zastosowanie, oraz kategorii A i B </w:t>
      </w:r>
      <w:proofErr w:type="spellStart"/>
      <w:r w:rsidRPr="004628A0">
        <w:rPr>
          <w:rFonts w:ascii="Arial" w:hAnsi="Arial" w:cs="Arial"/>
          <w:sz w:val="20"/>
          <w:szCs w:val="20"/>
        </w:rPr>
        <w:t>Niemierki</w:t>
      </w:r>
      <w:proofErr w:type="spellEnd"/>
      <w:r w:rsidRPr="004628A0">
        <w:rPr>
          <w:rFonts w:ascii="Arial" w:hAnsi="Arial" w:cs="Arial"/>
          <w:sz w:val="20"/>
          <w:szCs w:val="20"/>
        </w:rPr>
        <w:t xml:space="preserve">, zaś ponadpodstawowe z kategorii </w:t>
      </w:r>
      <w:proofErr w:type="spellStart"/>
      <w:r w:rsidRPr="004628A0">
        <w:rPr>
          <w:rFonts w:ascii="Arial" w:hAnsi="Arial" w:cs="Arial"/>
          <w:sz w:val="20"/>
          <w:szCs w:val="20"/>
        </w:rPr>
        <w:t>Blooma</w:t>
      </w:r>
      <w:proofErr w:type="spellEnd"/>
      <w:r w:rsidRPr="004628A0">
        <w:rPr>
          <w:rFonts w:ascii="Arial" w:hAnsi="Arial" w:cs="Arial"/>
          <w:sz w:val="20"/>
          <w:szCs w:val="20"/>
        </w:rPr>
        <w:t xml:space="preserve">: analiza, synteza i ocena, oraz kategorii C i D </w:t>
      </w:r>
      <w:proofErr w:type="spellStart"/>
      <w:r w:rsidRPr="004628A0">
        <w:rPr>
          <w:rFonts w:ascii="Arial" w:hAnsi="Arial" w:cs="Arial"/>
          <w:sz w:val="20"/>
          <w:szCs w:val="20"/>
        </w:rPr>
        <w:t>Niemierki</w:t>
      </w:r>
      <w:proofErr w:type="spellEnd"/>
      <w:r w:rsidRPr="004628A0">
        <w:rPr>
          <w:rFonts w:ascii="Arial" w:hAnsi="Arial" w:cs="Arial"/>
          <w:sz w:val="20"/>
          <w:szCs w:val="20"/>
        </w:rPr>
        <w:t>. Na podstawie tak zestawionych wymagań nauczyciel jest zobowiązany do przygotowania swojego własnego spisu osiągnięć i dostosowania go do możliwości uczniów, zasobów szkoły oraz obowiązującego regulaminu oceniania zatwierdzonego przez Radę Pedagogiczną.</w:t>
      </w:r>
    </w:p>
    <w:tbl>
      <w:tblPr>
        <w:tblW w:w="0" w:type="auto"/>
        <w:tblInd w:w="-510" w:type="dxa"/>
        <w:tblCellMar>
          <w:left w:w="0" w:type="dxa"/>
          <w:right w:w="0" w:type="dxa"/>
        </w:tblCellMar>
        <w:tblLook w:val="0000"/>
      </w:tblPr>
      <w:tblGrid>
        <w:gridCol w:w="1550"/>
        <w:gridCol w:w="9351"/>
        <w:gridCol w:w="1255"/>
        <w:gridCol w:w="3017"/>
      </w:tblGrid>
      <w:tr w:rsidR="004628A0" w:rsidRPr="003070AF" w:rsidTr="004628A0">
        <w:trPr>
          <w:cantSplit/>
          <w:trHeight w:val="22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120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4628A0" w:rsidRPr="003070AF" w:rsidRDefault="004628A0" w:rsidP="002E4B7A">
            <w:pPr>
              <w:tabs>
                <w:tab w:val="left" w:pos="2982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Calibri"/>
                <w:b/>
                <w:bCs/>
                <w:color w:val="FFFFFF" w:themeColor="background1"/>
                <w:sz w:val="24"/>
                <w:szCs w:val="20"/>
              </w:rPr>
            </w:pPr>
            <w:r w:rsidRPr="003070AF">
              <w:rPr>
                <w:rFonts w:cs="Calibri"/>
                <w:b/>
                <w:bCs/>
                <w:color w:val="FFFFFF" w:themeColor="background1"/>
                <w:sz w:val="24"/>
                <w:szCs w:val="20"/>
              </w:rPr>
              <w:t>Kategorie celów nauczania</w:t>
            </w:r>
            <w:r>
              <w:rPr>
                <w:rFonts w:cs="Calibri"/>
                <w:b/>
                <w:bCs/>
                <w:color w:val="FFFFFF" w:themeColor="background1"/>
                <w:sz w:val="24"/>
                <w:szCs w:val="20"/>
              </w:rPr>
              <w:t xml:space="preserve"> i </w:t>
            </w:r>
            <w:r w:rsidRPr="003070AF">
              <w:rPr>
                <w:rFonts w:cs="Calibri"/>
                <w:b/>
                <w:bCs/>
                <w:color w:val="FFFFFF" w:themeColor="background1"/>
                <w:sz w:val="24"/>
                <w:szCs w:val="20"/>
              </w:rPr>
              <w:t xml:space="preserve">procesy poznawcze uczniów według </w:t>
            </w:r>
            <w:proofErr w:type="spellStart"/>
            <w:r w:rsidRPr="003070AF">
              <w:rPr>
                <w:rFonts w:cs="Calibri"/>
                <w:b/>
                <w:bCs/>
                <w:color w:val="FFFFFF" w:themeColor="background1"/>
                <w:sz w:val="24"/>
                <w:szCs w:val="20"/>
              </w:rPr>
              <w:t>Blooma</w:t>
            </w:r>
            <w:proofErr w:type="spellEnd"/>
            <w:r w:rsidRPr="003070AF">
              <w:rPr>
                <w:rFonts w:cs="Calibri"/>
                <w:b/>
                <w:bCs/>
                <w:color w:val="FFFFFF" w:themeColor="background1"/>
                <w:sz w:val="24"/>
                <w:szCs w:val="20"/>
                <w:vertAlign w:val="superscript"/>
              </w:rPr>
              <w:footnoteReference w:id="1"/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120"/>
            <w:vAlign w:val="center"/>
          </w:tcPr>
          <w:p w:rsidR="004628A0" w:rsidRPr="003070AF" w:rsidRDefault="004628A0" w:rsidP="002E4B7A">
            <w:pPr>
              <w:autoSpaceDE w:val="0"/>
              <w:autoSpaceDN w:val="0"/>
              <w:adjustRightInd w:val="0"/>
              <w:spacing w:after="0" w:line="320" w:lineRule="atLeast"/>
              <w:jc w:val="center"/>
              <w:textAlignment w:val="center"/>
              <w:rPr>
                <w:rFonts w:cs="Calibri"/>
                <w:color w:val="FFFFFF" w:themeColor="background1"/>
                <w:sz w:val="24"/>
                <w:szCs w:val="20"/>
              </w:rPr>
            </w:pPr>
            <w:r w:rsidRPr="003070AF">
              <w:rPr>
                <w:rFonts w:cs="Calibri"/>
                <w:b/>
                <w:bCs/>
                <w:color w:val="FFFFFF" w:themeColor="background1"/>
                <w:sz w:val="24"/>
                <w:szCs w:val="20"/>
              </w:rPr>
              <w:t xml:space="preserve">Taksonomia ABC według B. </w:t>
            </w:r>
            <w:proofErr w:type="spellStart"/>
            <w:r w:rsidRPr="003070AF">
              <w:rPr>
                <w:rFonts w:cs="Calibri"/>
                <w:b/>
                <w:bCs/>
                <w:color w:val="FFFFFF" w:themeColor="background1"/>
                <w:sz w:val="24"/>
                <w:szCs w:val="20"/>
              </w:rPr>
              <w:t>Niemierki</w:t>
            </w:r>
            <w:proofErr w:type="spellEnd"/>
            <w:r w:rsidRPr="003070AF">
              <w:rPr>
                <w:rFonts w:cs="Calibri"/>
                <w:b/>
                <w:bCs/>
                <w:color w:val="FFFFFF" w:themeColor="background1"/>
                <w:sz w:val="24"/>
                <w:szCs w:val="20"/>
                <w:vertAlign w:val="superscript"/>
              </w:rPr>
              <w:footnoteReference w:id="2"/>
            </w:r>
          </w:p>
        </w:tc>
      </w:tr>
      <w:tr w:rsidR="004628A0" w:rsidRPr="003070AF" w:rsidTr="004628A0">
        <w:trPr>
          <w:cantSplit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120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4628A0" w:rsidRPr="003070AF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Calibri"/>
                <w:color w:val="FFFFFF" w:themeColor="background1"/>
                <w:sz w:val="24"/>
                <w:szCs w:val="20"/>
              </w:rPr>
            </w:pPr>
            <w:r w:rsidRPr="003070AF">
              <w:rPr>
                <w:rFonts w:cs="Calibri"/>
                <w:b/>
                <w:bCs/>
                <w:color w:val="FFFFFF" w:themeColor="background1"/>
                <w:sz w:val="24"/>
                <w:szCs w:val="20"/>
              </w:rPr>
              <w:t>Kategoria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120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4628A0" w:rsidRPr="003070AF" w:rsidRDefault="004628A0" w:rsidP="002E4B7A">
            <w:pPr>
              <w:tabs>
                <w:tab w:val="left" w:pos="2982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Calibri"/>
                <w:color w:val="FFFFFF" w:themeColor="background1"/>
                <w:sz w:val="24"/>
                <w:szCs w:val="20"/>
              </w:rPr>
            </w:pPr>
            <w:r w:rsidRPr="003070AF">
              <w:rPr>
                <w:rFonts w:cs="Calibri"/>
                <w:b/>
                <w:bCs/>
                <w:color w:val="FFFFFF" w:themeColor="background1"/>
                <w:sz w:val="24"/>
                <w:szCs w:val="20"/>
              </w:rPr>
              <w:t>Proces poznawczy ucznia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120"/>
            <w:vAlign w:val="center"/>
          </w:tcPr>
          <w:p w:rsidR="004628A0" w:rsidRPr="003070AF" w:rsidRDefault="004628A0" w:rsidP="002E4B7A">
            <w:pPr>
              <w:spacing w:after="0"/>
              <w:ind w:left="142"/>
              <w:jc w:val="center"/>
              <w:rPr>
                <w:rFonts w:cs="Calibri"/>
                <w:b/>
                <w:color w:val="FFFFFF" w:themeColor="background1"/>
                <w:sz w:val="24"/>
                <w:szCs w:val="20"/>
              </w:rPr>
            </w:pPr>
            <w:r w:rsidRPr="003070AF">
              <w:rPr>
                <w:rFonts w:cs="Calibri"/>
                <w:b/>
                <w:color w:val="FFFFFF" w:themeColor="background1"/>
                <w:sz w:val="24"/>
                <w:szCs w:val="20"/>
              </w:rPr>
              <w:t>Poziom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120"/>
            <w:vAlign w:val="center"/>
          </w:tcPr>
          <w:p w:rsidR="004628A0" w:rsidRPr="003070AF" w:rsidRDefault="004628A0" w:rsidP="002E4B7A">
            <w:pPr>
              <w:spacing w:after="0"/>
              <w:ind w:left="142"/>
              <w:jc w:val="center"/>
              <w:rPr>
                <w:rFonts w:cs="Calibri"/>
                <w:b/>
                <w:color w:val="FFFFFF" w:themeColor="background1"/>
                <w:sz w:val="24"/>
                <w:szCs w:val="20"/>
              </w:rPr>
            </w:pPr>
            <w:r w:rsidRPr="003070AF">
              <w:rPr>
                <w:rFonts w:cs="Calibri"/>
                <w:b/>
                <w:color w:val="FFFFFF" w:themeColor="background1"/>
                <w:sz w:val="24"/>
                <w:szCs w:val="20"/>
              </w:rPr>
              <w:t>Kategorie</w:t>
            </w:r>
          </w:p>
        </w:tc>
      </w:tr>
      <w:tr w:rsidR="004628A0" w:rsidRPr="004628A0" w:rsidTr="004628A0">
        <w:trPr>
          <w:trHeight w:val="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Wiadomości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Uczeń potrafi: </w:t>
            </w:r>
            <w:r w:rsidRPr="004628A0">
              <w:rPr>
                <w:rFonts w:ascii="Arial" w:hAnsi="Arial" w:cs="Arial"/>
                <w:i/>
                <w:iCs/>
                <w:sz w:val="20"/>
                <w:szCs w:val="20"/>
              </w:rPr>
              <w:t>przypomnieć, nazwać, zdefiniować, wymienić, wyliczyć, rozpoznać, wskazać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8A0" w:rsidRPr="004628A0" w:rsidRDefault="004628A0" w:rsidP="004628A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i/>
                <w:sz w:val="20"/>
                <w:szCs w:val="20"/>
              </w:rPr>
              <w:t>Wiadomości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8A0" w:rsidRPr="004628A0" w:rsidRDefault="004628A0" w:rsidP="004628A0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Zapamiętanie wiadomości</w:t>
            </w:r>
          </w:p>
          <w:p w:rsidR="004628A0" w:rsidRPr="004628A0" w:rsidRDefault="004628A0" w:rsidP="004628A0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Zrozumienie wiadomości</w:t>
            </w:r>
          </w:p>
        </w:tc>
      </w:tr>
      <w:tr w:rsidR="004628A0" w:rsidRPr="004628A0" w:rsidTr="004628A0">
        <w:trPr>
          <w:trHeight w:val="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Rozumienie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Uczeń potrafi</w:t>
            </w:r>
            <w:r w:rsidRPr="004628A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462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opisać, streścić, wyjaśnić, porównać, wytłumaczyć, podać przykład, zademonstrować, zilustrować, rozróżnić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8A0" w:rsidRPr="004628A0" w:rsidRDefault="004628A0" w:rsidP="004628A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42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A0" w:rsidRPr="004628A0" w:rsidTr="004628A0">
        <w:trPr>
          <w:trHeight w:val="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keepNext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outlineLvl w:val="3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Uczeń posłuży się wiadomościami w praktyce</w:t>
            </w:r>
            <w:r w:rsidRPr="004628A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462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narysuje schemat, wykona doświadczenie, zastosuje, użyje, wybierze właściwy zestaw (np. do doświadczenia), porówna, sklasyfikuje, scharakteryzuje, zmierzy, określi, wykreśli, zastosuje</w:t>
            </w:r>
            <w:r w:rsidRPr="004628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A0" w:rsidRPr="004628A0" w:rsidRDefault="004628A0" w:rsidP="004628A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42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A0" w:rsidRPr="004628A0" w:rsidTr="004628A0">
        <w:trPr>
          <w:trHeight w:val="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Analiza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Uczeń określi związki między..., tzn.:</w:t>
            </w:r>
            <w:r w:rsidRPr="004628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rozpozna zasadę klasyfikacji, wyciągnie wniosek, zanalizuje, wykryje, udowodni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8A0" w:rsidRPr="004628A0" w:rsidRDefault="004628A0" w:rsidP="004628A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i/>
                <w:sz w:val="20"/>
                <w:szCs w:val="20"/>
              </w:rPr>
              <w:t>Umiejętności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8A0" w:rsidRPr="004628A0" w:rsidRDefault="004628A0" w:rsidP="004628A0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Stosowanie wiadomości w sytuacjach typowych</w:t>
            </w:r>
          </w:p>
          <w:p w:rsidR="004628A0" w:rsidRPr="004628A0" w:rsidRDefault="004628A0" w:rsidP="004628A0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Stosowanie wiadomości w sytuacjach problemowych</w:t>
            </w:r>
          </w:p>
        </w:tc>
      </w:tr>
      <w:tr w:rsidR="004628A0" w:rsidRPr="004628A0" w:rsidTr="004628A0">
        <w:trPr>
          <w:trHeight w:val="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Synteza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Uczeń zbierze w całość informacje</w:t>
            </w:r>
            <w:r w:rsidRPr="004628A0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62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uogólni wnioski, przewidzi skutki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A0" w:rsidRPr="004628A0" w:rsidTr="004628A0">
        <w:trPr>
          <w:trHeight w:val="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Uczeń potrafi zastosować kryteria do oceny czegoś</w:t>
            </w:r>
            <w:r w:rsidRPr="004628A0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628A0">
              <w:rPr>
                <w:rFonts w:ascii="Arial" w:hAnsi="Arial" w:cs="Arial"/>
                <w:i/>
                <w:color w:val="000000"/>
                <w:sz w:val="20"/>
                <w:szCs w:val="20"/>
              </w:rPr>
              <w:t>oceni, osądzi, znajdzie błędy, uporządkuje według określonego kryterium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628A0" w:rsidRDefault="004628A0" w:rsidP="00671FDB">
      <w:pPr>
        <w:rPr>
          <w:rFonts w:ascii="AgendaPl-Bold" w:hAnsi="AgendaPl-Bold" w:cs="AgendaPl-Bold"/>
          <w:b/>
          <w:bCs/>
          <w:color w:val="0033FF"/>
          <w:sz w:val="36"/>
          <w:szCs w:val="36"/>
        </w:rPr>
      </w:pPr>
    </w:p>
    <w:p w:rsidR="004628A0" w:rsidRDefault="004628A0" w:rsidP="004628A0">
      <w:pPr>
        <w:pStyle w:val="tytul1"/>
        <w:ind w:left="-567"/>
        <w:rPr>
          <w:rFonts w:ascii="Arial" w:hAnsi="Arial" w:cs="Arial"/>
          <w:sz w:val="36"/>
        </w:rPr>
      </w:pPr>
      <w:r w:rsidRPr="004628A0">
        <w:rPr>
          <w:rFonts w:ascii="Arial" w:hAnsi="Arial" w:cs="Arial"/>
          <w:sz w:val="36"/>
        </w:rPr>
        <w:lastRenderedPageBreak/>
        <w:t>Opis założonych osiągnięć ucznia</w:t>
      </w:r>
    </w:p>
    <w:tbl>
      <w:tblPr>
        <w:tblW w:w="15225" w:type="dxa"/>
        <w:tblInd w:w="-510" w:type="dxa"/>
        <w:tblCellMar>
          <w:left w:w="0" w:type="dxa"/>
          <w:right w:w="0" w:type="dxa"/>
        </w:tblCellMar>
        <w:tblLook w:val="0000"/>
      </w:tblPr>
      <w:tblGrid>
        <w:gridCol w:w="7612"/>
        <w:gridCol w:w="7613"/>
      </w:tblGrid>
      <w:tr w:rsidR="004628A0" w:rsidRPr="004628A0" w:rsidTr="000023DB">
        <w:trPr>
          <w:cantSplit/>
          <w:trHeight w:val="60"/>
          <w:tblHeader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12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Osiągnięcia podstawowe</w:t>
            </w:r>
          </w:p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FFFFFF" w:themeColor="background1"/>
                <w:sz w:val="24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Uczeń: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12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Osiągnięcia ponadpodstawowe</w:t>
            </w:r>
          </w:p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FFFFFF" w:themeColor="background1"/>
                <w:sz w:val="24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Uczeń:</w:t>
            </w:r>
          </w:p>
        </w:tc>
      </w:tr>
      <w:tr w:rsidR="004628A0" w:rsidRPr="000023DB" w:rsidTr="000023DB">
        <w:trPr>
          <w:cantSplit/>
          <w:trHeight w:val="39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9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8A0" w:rsidRPr="000023DB" w:rsidRDefault="004628A0" w:rsidP="002E4B7A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 w:rsidRPr="004628A0">
              <w:rPr>
                <w:rFonts w:ascii="Arial" w:hAnsi="Arial" w:cs="Arial"/>
                <w:color w:val="FFFFFF" w:themeColor="background1"/>
                <w:szCs w:val="22"/>
              </w:rPr>
              <w:t>Rodzaje i przemiany materii</w:t>
            </w:r>
          </w:p>
        </w:tc>
      </w:tr>
      <w:tr w:rsidR="004628A0" w:rsidRPr="004628A0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28A0" w:rsidRPr="004628A0" w:rsidRDefault="004628A0" w:rsidP="004628A0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color w:val="000000"/>
                <w:sz w:val="20"/>
                <w:szCs w:val="20"/>
              </w:rPr>
              <w:t>wymienia powtarzające się elementy podręcznika i wskazuje rolę, jaką odgrywają;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wskazuje inne przykładowe źródła wiedzy;</w:t>
            </w:r>
          </w:p>
          <w:p w:rsidR="004628A0" w:rsidRPr="004628A0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 xml:space="preserve">odnajduje stronę internetową serwisu </w:t>
            </w:r>
            <w:proofErr w:type="spellStart"/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wsipn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dla uczniów korzystających w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podręczników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WSiP</w:t>
            </w:r>
            <w:proofErr w:type="spellEnd"/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, analizuje zwartość, dokonuje rejestracji;</w:t>
            </w:r>
          </w:p>
        </w:tc>
      </w:tr>
      <w:tr w:rsidR="004628A0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28A0" w:rsidRPr="004628A0" w:rsidRDefault="00974649" w:rsidP="004628A0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wskazuje w swoim najbliższym otoczeniu produkty przemysłu chemicznego;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28A0" w:rsidRPr="004628A0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na podstawie umieszczonych na opakowaniach oznaczeń wskazuje substancje niebezpieczne w swoim otoczeniu;</w:t>
            </w:r>
          </w:p>
        </w:tc>
      </w:tr>
      <w:tr w:rsidR="004628A0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28A0" w:rsidRPr="004628A0" w:rsidRDefault="00974649" w:rsidP="004628A0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wymienia różne dziedziny chemii oraz wskazuje przedmiot ich zainteresowań;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28A0" w:rsidRPr="004628A0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wymienia chemików polskiego pochodzenia, którzy wnieśli istotny wkład w rozwój chemii;</w:t>
            </w:r>
          </w:p>
        </w:tc>
      </w:tr>
      <w:tr w:rsidR="004628A0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28A0" w:rsidRPr="004628A0" w:rsidRDefault="00974649" w:rsidP="004628A0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wymienia najważniejsze zasady, których należy przestrzegać na lekcjach chemii;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interpretuje podstawowe piktogramy umieszczane na opakowaniach;</w:t>
            </w:r>
          </w:p>
          <w:p w:rsidR="004628A0" w:rsidRPr="004628A0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opisuje zasady postępowania w razie nieprzewidzianych zdarzeń mających miejsce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 pracowni chemicznej;</w:t>
            </w:r>
          </w:p>
        </w:tc>
      </w:tr>
      <w:tr w:rsidR="00974649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podaje nazwy najczęściej używanych sprzętów i szkła laboratoryjnego, wskazuje ich zastosowanie;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wykonuje proste czynności laboratoryjne: przelewanie cieczy, ogrzewanie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probówce i zlewce, sączenie;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wyjaśnia, jak należy formułować obserwacje, a jak wnioski;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opisuje doświadczenia chemiczne, rysuje proste schematy;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odróżnia obserwacje od wniosków, wskazuje różnice;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interpretuje proste schematy doświadczeń chemicznych;</w:t>
            </w:r>
          </w:p>
        </w:tc>
      </w:tr>
      <w:tr w:rsidR="00974649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obserwuje mieszanie stykających się substancji;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opisuje ziarnistą budowę materii;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planuje doświadczenia potwierdzające ziarnistość materii;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tłumaczy, na czym polegają zjawiska: dyfuzji, rozpuszczania, zmiany stanu skupienia;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pokazujące różną szybkość procesu dyfuzji;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wyjaśnia, jaki wpływ na szybkość procesu dyfuzji ma stan skupienia stykających się ciał;</w:t>
            </w:r>
          </w:p>
        </w:tc>
      </w:tr>
      <w:tr w:rsidR="00974649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opisuje właściwości substancji będących głównymi składnikami stosowanych na co dzień produktów, np. soli kamiennej, cukru, mąki, wody, miedzi, żelaza, cynku, glinu, węgla i siarki;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bada właściwości wybranych substancji (np. stan skupienia, barwę, rozpuszczalność w wodzie,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oddziaływanie z magnesem, przewodnictwo elektryczne, przewodnictwo cieplne);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projektuje i wykonuje doświadczenia, w których bada właściwości wybranych substancji (np. rozpuszczalność w benzynie, kruchość, plastyczność);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porównuje właściwości różnych substancji;</w:t>
            </w:r>
          </w:p>
        </w:tc>
      </w:tr>
      <w:tr w:rsidR="00974649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lub tablic chemicznych gęstość, temperaturę topnienia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i temperaturę wrzenia wskazanych substancji;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poszukuje w różnych dostępnych źródłach informacji na temat właściwości fizycznych substancji, np. twardości w skali Mohsa;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analizuje i porównuje odczytane z układu okresowego lub tablic chemicznych informacje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na temat właściwości fizycznych różnych substancji;</w:t>
            </w:r>
          </w:p>
        </w:tc>
      </w:tr>
      <w:tr w:rsidR="00974649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przeprowadza obliczenia z wykorzystaniem pojęć: masa, gęstość i objętość;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dokonuje pomiarów objętości, masy, wyznacza gęstość substancji o dowolnym kształcie;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odczytuje informacje z rysunku lub zdjęcia oraz wykonuje obliczenia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wykorzystaniem pojęć: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masa, gęstość i objętość;</w:t>
            </w:r>
          </w:p>
        </w:tc>
      </w:tr>
      <w:tr w:rsidR="00974649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sługuje się pojęciami: substancja prosta (pierwiastek chemiczny) oraz substancja złożona (związek chemiczny);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przykłady pierwiastków – metali i niemetali oraz związków chemicznych;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wspólne właściwości metali;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wymienia właściwości niemetali;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 xml:space="preserve">posługuje się symbolami pierwiastków: H, O, N, Cl, </w:t>
            </w:r>
            <w:proofErr w:type="spellStart"/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Br</w:t>
            </w:r>
            <w:proofErr w:type="spellEnd"/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 xml:space="preserve">, I, S, C, P, Si, Na, K, Ca, Mg, Fe, Zn, Cu, Al, Pb, Sn, Ag, </w:t>
            </w:r>
            <w:proofErr w:type="spellStart"/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Hg</w:t>
            </w:r>
            <w:proofErr w:type="spellEnd"/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, Au, Ba;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wzory chemiczne związków: CO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, H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 xml:space="preserve">O, </w:t>
            </w:r>
            <w:proofErr w:type="spellStart"/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NaCl</w:t>
            </w:r>
            <w:proofErr w:type="spellEnd"/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wymienia drobiny, z których są zbudowane pierwiastki i związki chemiczne;</w:t>
            </w:r>
          </w:p>
          <w:p w:rsidR="00974649" w:rsidRPr="00974649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wymienia niemetale, które w warunkach normalnych występują w postaci cząsteczkowej;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porównuje właściwości metali i niemetali;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odróżnia metale od niemetali na podstawie ich właściwości, klasyfikuje pierwiastki jako metale i niemetale;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kryterium podziału substancji;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wyjaśnia różnicę między pierwiastkiem a związkiem chemicznym;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przykłady związków chemicznych, zarówno tych zbudowanych z</w:t>
            </w:r>
            <w:r w:rsidR="007C52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cząsteczek, jak i zbudowanych z jonów;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tłumaczy, skąd pochodzą symbole pierwiastków chemicznych, podaje przykłady;</w:t>
            </w:r>
          </w:p>
          <w:p w:rsidR="00974649" w:rsidRPr="00974649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zapisuje wzory sumaryczne pierwiastków występujących w postaci cząsteczkowej;</w:t>
            </w:r>
          </w:p>
        </w:tc>
      </w:tr>
      <w:tr w:rsidR="000023DB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opisuje różnice w przebiegu zjawiska fizycznego i reakcji chemicznej;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przykłady zjawisk fizycznych i reakcji chemicznych zachodzących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otoczeniu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człowieka;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planuje i wykonuje doświadczenia ilustrujące zjawisko fizyczne i reakcję chemiczną;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opisuje rolę katalizatora reakcji chemicznej;</w:t>
            </w:r>
          </w:p>
        </w:tc>
      </w:tr>
      <w:tr w:rsidR="000023DB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definiuje pojęcie mieszaniny chemicznej;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odróżnia mieszaninę jednorodną od niejednorodnej;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wymienia przykłady mieszanin jednorodnych i niejednorodnych;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opisuje cechy mieszanin jednorodnych i niejednorodnych;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kryteria podziału mieszanin;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wskazuje te różnice między właściwościami fizycznymi składników mieszaniny, które umożliwiają ich rozdzielenie;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wyjaśnia, w jaki sposób skład mieszaniny wpływa na jej właściwości;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opisuje różnice między mieszaniną a związkiem chemicznym lub pierwiastkiem;</w:t>
            </w:r>
          </w:p>
        </w:tc>
      </w:tr>
      <w:tr w:rsidR="000023DB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opisuje proste metody rozdziału mieszanin;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sporządza mieszaniny i rozdziela je na składniki (np. wody i piasku, wody i soli kamiennej,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kredy i soli kamiennej, siarki i opiłków żelaza, wody i oleju jadalnego, wody i atramentu).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porównuje mieszaniny i związki chemiczne (sposób otrzymywania, rozdziału, skład jakościowy, ilościowy, zachowywanie właściwości składników);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przewiduje właściwości stopu na podstawie właściwości jego składników.</w:t>
            </w:r>
          </w:p>
        </w:tc>
      </w:tr>
      <w:tr w:rsidR="000023DB" w:rsidRPr="000023DB" w:rsidTr="002E4B7A">
        <w:trPr>
          <w:cantSplit/>
          <w:trHeight w:val="39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9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23DB" w:rsidRPr="000023DB" w:rsidRDefault="000023DB" w:rsidP="002E4B7A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 w:rsidRPr="000023DB">
              <w:rPr>
                <w:rFonts w:ascii="Arial" w:hAnsi="Arial" w:cs="Arial"/>
                <w:color w:val="FFFFFF" w:themeColor="background1"/>
                <w:szCs w:val="22"/>
              </w:rPr>
              <w:t>Budowa materii</w:t>
            </w:r>
          </w:p>
        </w:tc>
      </w:tr>
      <w:tr w:rsidR="000023DB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23DB" w:rsidRPr="000023DB" w:rsidRDefault="00B51177" w:rsidP="00B51177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177">
              <w:rPr>
                <w:rFonts w:ascii="Arial" w:hAnsi="Arial" w:cs="Arial"/>
                <w:color w:val="000000"/>
                <w:sz w:val="20"/>
                <w:szCs w:val="20"/>
              </w:rPr>
              <w:t>zdaje sobie sprawę, że poglądy na temat budowy materii zmieniały się na przestrzeni dziejów;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23DB" w:rsidRPr="000023DB" w:rsidRDefault="00B51177" w:rsidP="00B51177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177">
              <w:rPr>
                <w:rFonts w:ascii="Arial" w:hAnsi="Arial" w:cs="Arial"/>
                <w:color w:val="000000"/>
                <w:sz w:val="20"/>
                <w:szCs w:val="20"/>
              </w:rPr>
              <w:t>opisuje, w jaki sposób zmieniały się poglądy na temat budowy materii, w sposób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1177">
              <w:rPr>
                <w:rFonts w:ascii="Arial" w:hAnsi="Arial" w:cs="Arial"/>
                <w:color w:val="000000"/>
                <w:sz w:val="20"/>
                <w:szCs w:val="20"/>
              </w:rPr>
              <w:t>chronologiczny podaje nazwiska uczonych, którzy przyczynili się do tego rozwoju;</w:t>
            </w:r>
          </w:p>
        </w:tc>
      </w:tr>
      <w:tr w:rsidR="00F16856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856" w:rsidRPr="00B51177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opisuje i charakteryzuje skład atomu (jądro: protony i neutrony, elektrony);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856" w:rsidRPr="00B51177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zdaje sobie sprawę, że protony i neutrony nie są najmniejszymi cząstkami materii,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że nie należy nazywać ich cząstkami elementarnymi;</w:t>
            </w:r>
          </w:p>
        </w:tc>
      </w:tr>
      <w:tr w:rsidR="00F16856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856" w:rsidRPr="00F16856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podstawowe informacje o pierwiastkach (symbol, nazwę, liczbę atomową, masę atomową, rodzaj pierwiastka – metal lub niemetal);</w:t>
            </w:r>
          </w:p>
          <w:p w:rsidR="00F16856" w:rsidRPr="00B51177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definiuje pierwiastek jako zbiór atomów o danej liczbie atomowej;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856" w:rsidRPr="00B51177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przelicza masę atomową wyrażoną w jednostce masy atomowej (u) na gramy, wyniki podaje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w notacji wykładniczej;</w:t>
            </w:r>
          </w:p>
        </w:tc>
      </w:tr>
      <w:tr w:rsidR="00F16856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856" w:rsidRPr="00F16856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opisuje budowę układu okresowego (grupy i okresy);</w:t>
            </w:r>
          </w:p>
          <w:p w:rsidR="00F16856" w:rsidRPr="00B51177" w:rsidRDefault="00F16856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odszukuje w układzie okresowym pierwiastek na podstawie jego położenia (nr</w:t>
            </w:r>
            <w:r w:rsidR="007C52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grupy i okresu);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odczytuje jego i symbol i nazwę;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856" w:rsidRPr="00B51177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podaje numery i nazwy grup;</w:t>
            </w:r>
          </w:p>
        </w:tc>
      </w:tr>
      <w:tr w:rsidR="00F16856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856" w:rsidRPr="00F16856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ustala liczbę protonów, elektronów i neutronów w atomie danego pierwiastka, gdy dane są liczby atomowa i masowa;</w:t>
            </w:r>
          </w:p>
          <w:p w:rsidR="00F16856" w:rsidRPr="00F16856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 xml:space="preserve">zapisuje symbolicznie informacje na temat budowy atomu w postaci </w:t>
            </w:r>
            <m:oMath>
              <m:sPre>
                <m:sPre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E</m:t>
                  </m:r>
                </m:e>
              </m:sPre>
            </m:oMath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16856" w:rsidRPr="00F16856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interpretuje zapis </w:t>
            </w:r>
            <m:oMath>
              <m:sPre>
                <m:sPre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E</m:t>
                  </m:r>
                </m:e>
              </m:sPre>
            </m:oMath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856" w:rsidRPr="00F16856" w:rsidRDefault="00F16856" w:rsidP="00F16856">
            <w:p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6856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856" w:rsidRPr="00F16856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definiuje pojęcie elektrony powłoki zewnętrznej – elektrony walencyjne;</w:t>
            </w:r>
          </w:p>
          <w:p w:rsidR="00F16856" w:rsidRPr="00F16856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wskazuje liczbę elektronów walencyjnych dla pierwiastków grup: 1., 2., 13.–18.;</w:t>
            </w:r>
          </w:p>
          <w:p w:rsidR="00F16856" w:rsidRPr="00F16856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wyjaśnia związek między liczbą powłok elektronowych i liczbą elektronów walencyjnych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w atomie pierwiastka a jego położeniem w układzie okresowym;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856" w:rsidRPr="00F16856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zapisuje konfiguracje elektronowe atomów pierwiastków, których liczba atomowa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przekracza 20;</w:t>
            </w:r>
          </w:p>
        </w:tc>
      </w:tr>
      <w:tr w:rsidR="00F16856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856" w:rsidRPr="00F16856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wyjaśnia związek między podobieństwem właściwości pierwiastków zapisanych w tej samej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grupie układu okresowego a budową atomów i liczbą elektronów walencyjnych;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porównuje aktywność chemiczną pierwiastków należących do tej samej grupy na przykładzie litowców i fluorowców;</w:t>
            </w:r>
          </w:p>
          <w:p w:rsidR="00F16856" w:rsidRPr="00F16856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porównuje aktywność chemiczną pierwiastków należących do tego samego okresu 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przykładzie okresu trzeciego;</w:t>
            </w:r>
          </w:p>
        </w:tc>
      </w:tr>
      <w:tr w:rsidR="00F6096A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definiuje pojęcie izotopu;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podaje przykłady pierwiastków mających odmiany izotopowe;</w:t>
            </w:r>
          </w:p>
        </w:tc>
      </w:tr>
      <w:tr w:rsidR="00F6096A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wyjaśnia różnice w budowie atomów izotopów wodoru;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określa skład jądra atomowego izotopu opisanego liczbami: atomową i masową;</w:t>
            </w:r>
          </w:p>
        </w:tc>
      </w:tr>
      <w:tr w:rsidR="00F6096A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wymienia dziedziny życia, w których izotopy znalazły zastosowanie;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określa znaczenie badań Marii Skłodowskiej-Curie dla rozwoju wiedzy na temat zjawiska promieniotwórczości;</w:t>
            </w:r>
          </w:p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wyjaśnia zjawiska promieniotwórczości naturalnej i sztucznej;</w:t>
            </w:r>
          </w:p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rozróżnia rodzaje promieniowania;</w:t>
            </w:r>
          </w:p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omawia sposoby wykorzystywania zjawiska promieniotwórczości;</w:t>
            </w:r>
          </w:p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opisuje wpływ pierwiastków promieniotwórczych na organizmy;</w:t>
            </w:r>
          </w:p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 xml:space="preserve">zapisuje równania rozpadu </w:t>
            </w:r>
            <w:r w:rsidRPr="00F6096A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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r w:rsidRPr="00F6096A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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–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F6096A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definiuje pojęcie masy atomowej (średnia mas atomów danego pierwiastka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uwzględnieniem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jego składu izotopowego).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oblicza masę atomową wskazanego pierwiastka na podstawie liczb masowych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zawartości procentowej trwałych izotopów występujących w przyrodzie;</w:t>
            </w:r>
          </w:p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oblicza zawartość procentową trwałych izotopów występujących w przyrodzie na podstawie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masy atomowej pierwiastka i liczb masowych tych izotopów.</w:t>
            </w:r>
          </w:p>
        </w:tc>
      </w:tr>
      <w:tr w:rsidR="00F6096A" w:rsidRPr="000023DB" w:rsidTr="002E4B7A">
        <w:trPr>
          <w:cantSplit/>
          <w:trHeight w:val="39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9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096A" w:rsidRPr="000023DB" w:rsidRDefault="00F6096A" w:rsidP="002E4B7A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 w:rsidRPr="00F6096A">
              <w:rPr>
                <w:rFonts w:ascii="Arial" w:hAnsi="Arial" w:cs="Arial"/>
                <w:color w:val="FFFFFF" w:themeColor="background1"/>
                <w:szCs w:val="22"/>
              </w:rPr>
              <w:t>Wiązania i reakcje chemiczne</w:t>
            </w:r>
          </w:p>
        </w:tc>
      </w:tr>
      <w:tr w:rsidR="00F6096A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wyjaśnia dlaczego gazy szlachetne są bierne chemicznie;</w:t>
            </w:r>
          </w:p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definiuje pojęcie jonów;</w:t>
            </w:r>
          </w:p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opisuje, jak powstają jony;</w:t>
            </w:r>
          </w:p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zapisuje elektronowo mechanizm powstawania jonów na przykładzie Na, Mg, Al, Cl, S;</w:t>
            </w:r>
          </w:p>
          <w:p w:rsidR="00F6096A" w:rsidRPr="00F6096A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opisuje powstawanie wiązania jonowego – efektu przekazywania elektronów walencyjnych;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podaje regułę dubletu i oktetu;</w:t>
            </w:r>
          </w:p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wyjaśnia różnice między drobinami: atomem, cząsteczką, jonem: kationem i</w:t>
            </w:r>
            <w:r w:rsidR="007C52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anionem;</w:t>
            </w:r>
          </w:p>
          <w:p w:rsidR="00F6096A" w:rsidRPr="00F6096A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ilustruje graficznie powstawanie wiązań jonowych;</w:t>
            </w:r>
          </w:p>
        </w:tc>
      </w:tr>
      <w:tr w:rsidR="00F6096A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opisuje, czym różni się atom od cząsteczki;</w:t>
            </w:r>
          </w:p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interpretuje zapisy H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, 2H, 2H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 xml:space="preserve"> itp.;</w:t>
            </w:r>
          </w:p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opisuje rolę elektronów walencyjnych w łączeniu się atomów tych samych pierwiastków;</w:t>
            </w:r>
          </w:p>
          <w:p w:rsidR="00F6096A" w:rsidRPr="00F6096A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na przykładzie cząsteczek H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, Cl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, N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 xml:space="preserve"> opisuje powstawanie wiązań kowalencyjnych;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ilustruje graficznie powstawanie wiązań kowalencyjnych;</w:t>
            </w:r>
          </w:p>
          <w:p w:rsidR="00F6096A" w:rsidRPr="00F6096A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odróżnia wzory elektronowe, kreskowe, strukturalne;</w:t>
            </w:r>
          </w:p>
        </w:tc>
      </w:tr>
      <w:tr w:rsidR="00BE1DFF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wyjaśnia pojęcie elektroujemności;</w:t>
            </w:r>
          </w:p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 xml:space="preserve">na przykładzie cząsteczek </w:t>
            </w:r>
            <w:proofErr w:type="spellStart"/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HCl</w:t>
            </w:r>
            <w:proofErr w:type="spellEnd"/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, H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O, CO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, NH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, CH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4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 xml:space="preserve"> opisuje powstawanie wiązań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kowalencyjnych, zapisuje wzory sumaryczne i strukturalne tych cząsteczek;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przewiduje rodzaj wiązania między atomami na podstawie różnicy elektroujemności atomów tworzących wiązanie;</w:t>
            </w:r>
          </w:p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wskazuje związki, w których występuje wiązanie kowalencyjne spolaryzowane;</w:t>
            </w:r>
          </w:p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wyjaśnia różnice między sposobem powstawania wiązań jonowych, kowalencyjnych i kowalencyjnych spolaryzowanych;</w:t>
            </w:r>
          </w:p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wyjaśnia, na czym polega polaryzacja wiązania;</w:t>
            </w:r>
          </w:p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wyjaśnia, dlaczego mimo polaryzacji wiązań między atomami tlenu i atomem węgla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 cząsteczce tlenku węgla(IV) wiązanie nie jest polarne;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BE1DFF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porównuje właściwości związków kowalencyjnych i jonowych (stan skupienia, rozpuszczalność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 wodzie, temperatury topnienia i wrzenia, przewodnictwo ciepła i elektryczności);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wyjaśnia, w jaki sposób polaryzacja wiązania wpływa na właściwości związku;</w:t>
            </w:r>
          </w:p>
          <w:p w:rsidR="00AB5934" w:rsidRPr="00BE1DFF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przewiduje właściwości związku na podstawie rodzaju wiązań i weryfikuje przewidywania,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korzystając z różnorodnych źródeł wiedzy;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definiuje pojęcie wartościowości jako liczby wiązań, które tworzy atom, łącząc się z atomami innych pierwiastków;</w:t>
            </w:r>
          </w:p>
          <w:p w:rsidR="00AB5934" w:rsidRPr="00BE1DFF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wartościowość maksymalną dla pierwiastków grup 1., 2., 13.,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14., 15., 16. i 17. (względem tlenu i wodoru);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BE1DFF" w:rsidRDefault="00AB5934" w:rsidP="00AB5934">
            <w:pPr>
              <w:pStyle w:val="Akapitzlist"/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 xml:space="preserve">ustala wzory sumaryczne związków </w:t>
            </w:r>
            <w:proofErr w:type="spellStart"/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dwupierwiastkowych</w:t>
            </w:r>
            <w:proofErr w:type="spellEnd"/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 xml:space="preserve"> utworzonych przez pierwiastki o wskazanej wartościowości;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rysuje wzory strukturalne cząsteczek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związków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dwupierwiastkowych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(o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wiązaniach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kowalencyjnych) o znanych wartościowościach pierwiastków;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 xml:space="preserve">na przykładzie tlenków dla prostych związków </w:t>
            </w:r>
            <w:proofErr w:type="spellStart"/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dwupierwiastkowych</w:t>
            </w:r>
            <w:proofErr w:type="spellEnd"/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 xml:space="preserve"> ustala: nazwę na podstawie wzoru sumarycznego, wzór sumaryczny na podstawie nazwy;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ustala wzory sumaryczne chlorków i siarczków;</w:t>
            </w:r>
          </w:p>
          <w:p w:rsidR="00AB5934" w:rsidRPr="00BE1DFF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wyjaśnia, dlaczego nie we wszystkich przypadkach związków może rysować wzory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strukturalne;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oblicza masy cząsteczkowe tlenków;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oblicza masy cząsteczkowe związków chemicznych, dokonuje prostych obliczeń związanych z zastosowaniem prawa stałości składu, np. pozwalające ustalać wzory sumaryczne związków o podanym stosunku masowym, wyznacza indeksy stechiometryczne dla związków o znanej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masie atomowej itp.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obserwuje doświadczenia, z pomocą formułuje obserwacje i wnioski;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definiuje pojęcia: reakcje egzotermiczne i reakcje endotermiczne;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samodzielnie formułuje obserwacje i wnioski;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wskazuje reakcje egzotermiczne i endotermiczne w swoim otoczeniu;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zapisuje proste równania reakcji na podstawie zapisu słownego;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wskazuje substraty i produkty, określa typ reakcji;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zapisuje równania reakcji o większym stopniu trudności;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wyjaśnia różnicę między substratem, produktem i katalizatorem reakcji, zna ich miejsce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 równaniu reakcji;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opisuje, na czym polega reakcja syntezy, analizy i wymiany;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podaje przykłady różnych typów reakcji;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dobiera współczynniki w równaniach reakcji chemicznych;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 xml:space="preserve">rozwiązuje </w:t>
            </w:r>
            <w:proofErr w:type="spellStart"/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chemografy</w:t>
            </w:r>
            <w:proofErr w:type="spellEnd"/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dokonuje prostych obliczeń związanych z zastosowaniem prawa zachowania masy.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korzystając z proporcji, wykonuje obliczenia dotyczące stechiometrii równań reakcji.</w:t>
            </w:r>
          </w:p>
        </w:tc>
      </w:tr>
      <w:tr w:rsidR="00AB5934" w:rsidRPr="000023DB" w:rsidTr="002E4B7A">
        <w:trPr>
          <w:cantSplit/>
          <w:trHeight w:val="39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9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934" w:rsidRPr="000023DB" w:rsidRDefault="00AB5934" w:rsidP="002E4B7A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 w:rsidRPr="00AB5934">
              <w:rPr>
                <w:rFonts w:ascii="Arial" w:hAnsi="Arial" w:cs="Arial"/>
                <w:color w:val="FFFFFF" w:themeColor="background1"/>
                <w:szCs w:val="22"/>
              </w:rPr>
              <w:t>Gazy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ykonuje lub obserwuje doświadczenie potwierdzające, że powietrze jest mieszaniną;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opisuje, na czym polega powstawanie dziury ozonowej;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opisuje skład i właściwości powietrza;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wymienia źródła, rodzaje i skutki zanieczyszczeń powietrza;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potwierdzające skład powietrza;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opisuje rolę atmosfery ziemskiej;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wskazuje i porównuje źródła i wielkość emisji zanieczyszczeń do atmosfery;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przewiduje skutki działalności człowieka i opisuje przewidywane zmiany atmosfery;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analizuje dane statystyczne dotyczące emisji i obecności szkodliwych substancji w atmosferze;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wyciąga wnioski na podstawie przeanalizowanych danych;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projektuje działania na rzecz ochrony atmosfery;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proponuje sposoby zapobiegania powiększaniu się dziury ozonowej;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odczytuje z układu okresowego i innych źródeł informacje o azocie, helu, argonie, tlenie i wodorze;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opisuje właściwości fizyczne i chemiczne azotu, tlenu, wodoru, tlenku węgla(IV);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pisze równania reakcji otrzymywania: tlenu, wodoru i tlenku węgla(IV) (np.</w:t>
            </w:r>
            <w:r w:rsidR="007C52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rozkład wody pod wpływem prądu elektrycznego, spalanie węgla);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zapisuje równania reakcji otrzymywania wodorków (syntezy siarkowodoru, amoniaku, chlorowodoru i metanu);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planuje i wykonuje doświadczenie pozwalające wykryć CO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 xml:space="preserve"> w powietrzu wydychanym z płuc;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opisuje obieg tlenu w przyrodzie;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wyjaśnia, dlaczego gazy szlachetne są bardzo mało aktywne chemicznie; wymienia 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zastosowanie;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na podstawie mas atomowych helowców i mas cząsteczkowych innych składników powietrza przewiduje różnice w gęstości składników powietrza w</w:t>
            </w:r>
            <w:r w:rsidR="00B229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stosunku do powietrza;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planuje i/lub wykonuje doświadczenia dotyczące badania właściwości tlenu, wodoru i tlenku węgla(IV);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porównuje właściwości poznanych gazów;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pozwalające wykryć tlen, wodór, tlenek węgla(IV);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opisuje obieg azotu w przyrodzie;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opisuje właściwości gazów powstających w procesach gnilnych;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na podstawie właściwości proponuje sposób odbierania gazów;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tłumaczy na przykładach zależności między właściwościami substancji a jej zastosowaniem;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B22980" w:rsidP="00B22980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980">
              <w:rPr>
                <w:rFonts w:ascii="Arial" w:hAnsi="Arial" w:cs="Arial"/>
                <w:color w:val="000000"/>
                <w:sz w:val="20"/>
                <w:szCs w:val="20"/>
              </w:rPr>
              <w:t>opisuje proces rdzewienia żelaza, wymienia jego przyczyny;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B22980" w:rsidP="00B22980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980">
              <w:rPr>
                <w:rFonts w:ascii="Arial" w:hAnsi="Arial" w:cs="Arial"/>
                <w:color w:val="000000"/>
                <w:sz w:val="20"/>
                <w:szCs w:val="20"/>
              </w:rPr>
              <w:t>wskazuje czynniki przyspieszające proces rdzewienia;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B22980" w:rsidP="00B22980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980">
              <w:rPr>
                <w:rFonts w:ascii="Arial" w:hAnsi="Arial" w:cs="Arial"/>
                <w:color w:val="000000"/>
                <w:sz w:val="20"/>
                <w:szCs w:val="20"/>
              </w:rPr>
              <w:t>proponuje sposoby zabezpieczania przed rdzewieniem produktów zawierających w swoim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22980">
              <w:rPr>
                <w:rFonts w:ascii="Arial" w:hAnsi="Arial" w:cs="Arial"/>
                <w:color w:val="000000"/>
                <w:sz w:val="20"/>
                <w:szCs w:val="20"/>
              </w:rPr>
              <w:t>składzie żelazo;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980" w:rsidRPr="00B22980" w:rsidRDefault="00B22980" w:rsidP="00B22980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980"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pozwalające ocenić wpływ wilgoci w powietrzu na przebieg korozji;</w:t>
            </w:r>
          </w:p>
          <w:p w:rsidR="00B22980" w:rsidRPr="00B22980" w:rsidRDefault="00B22980" w:rsidP="00B22980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980">
              <w:rPr>
                <w:rFonts w:ascii="Arial" w:hAnsi="Arial" w:cs="Arial"/>
                <w:color w:val="000000"/>
                <w:sz w:val="20"/>
                <w:szCs w:val="20"/>
              </w:rPr>
              <w:t>porównuje skuteczność różnych sposobów zabezpieczania żelaza i jego stopów przed rdzewieniem;</w:t>
            </w:r>
          </w:p>
          <w:p w:rsidR="00AB5934" w:rsidRPr="00AB5934" w:rsidRDefault="00B22980" w:rsidP="00B22980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980">
              <w:rPr>
                <w:rFonts w:ascii="Arial" w:hAnsi="Arial" w:cs="Arial"/>
                <w:color w:val="000000"/>
                <w:sz w:val="20"/>
                <w:szCs w:val="20"/>
              </w:rPr>
              <w:t>opisuje i porównuje proces pasywacji i patynowania oraz wskazuje metale, których te procesy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22980">
              <w:rPr>
                <w:rFonts w:ascii="Arial" w:hAnsi="Arial" w:cs="Arial"/>
                <w:color w:val="000000"/>
                <w:sz w:val="20"/>
                <w:szCs w:val="20"/>
              </w:rPr>
              <w:t>dotyczą;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wymienia zastosowanie tlenków: tlenku wapnia, tlenku glinu, tlenku krzemu(IV), tlenków żelaza, tlenków węgla, tlenków siarki;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wymienia i opisuje właściwości najbardziej rozpowszechnionych tlenków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przyrodzie;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ustala wzory sumaryczne tlenków i wodorków, podaje ich nazwy;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oblicza masy cząsteczkowe tlenków i wodorków;</w:t>
            </w:r>
          </w:p>
          <w:p w:rsidR="00AB5934" w:rsidRPr="00AB5934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dla tlenków i wodorków wykonuje proste obliczenia wykorzystujące prawo stałości składu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oraz prawo zachowania masy.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porównuje zawartość procentową węgla w tlenkach węgla(II) i (IV);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korzystając z proporcji, wykonuje obliczenia na podstawie ilościowej interpretacji równań reakcji syntezy tlenków i wodorków;</w:t>
            </w:r>
          </w:p>
          <w:p w:rsidR="00AB5934" w:rsidRPr="00AB5934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oblicza wartość masy atomowej pierwiastków azotu, tlenu, na podstawie zawartości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procentowej izotopów występujących w przyrodzie.</w:t>
            </w:r>
          </w:p>
        </w:tc>
      </w:tr>
      <w:tr w:rsidR="007C522E" w:rsidRPr="000023DB" w:rsidTr="002E4B7A">
        <w:trPr>
          <w:cantSplit/>
          <w:trHeight w:val="39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9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522E" w:rsidRPr="000023DB" w:rsidRDefault="007C522E" w:rsidP="002E4B7A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 w:rsidRPr="007C522E">
              <w:rPr>
                <w:rFonts w:ascii="Arial" w:hAnsi="Arial" w:cs="Arial"/>
                <w:color w:val="FFFFFF" w:themeColor="background1"/>
                <w:szCs w:val="22"/>
              </w:rPr>
              <w:lastRenderedPageBreak/>
              <w:t>Woda i roztwory wodne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opisuje obieg wody w przyrodzie;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podaje nazwy procesów fizycznych zachodzących podczas zmiany stanu skupienia wody;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opisuje wpływ działalności człowieka na zanieczyszczenie wód;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wskazuje punkt poboru wody dla najbliższej mu okolicy, stację uzdatniania wody i oczyszczalnię ścieków;</w:t>
            </w:r>
          </w:p>
          <w:p w:rsidR="00AB5934" w:rsidRPr="00AB5934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wymienia etapy oczyszczania ścieków;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wskazuje różnice między wodą destylowaną, wodociągową i mineralną;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wyjaśnia, jaką rolę odgrywa woda w życiu organizmów, rolnictwie i procesach produkcyjnych;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analizuje zużycie wody w swoim domu i proponuje sposoby racjonalnego gospodarowania wodą;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wskazuje, co należy zrobić, aby poprawić czystość wód naturalnych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najbliższym otoczeniu;</w:t>
            </w:r>
          </w:p>
          <w:p w:rsidR="00AB5934" w:rsidRPr="00AB5934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wymienia i charakteryzuje klasy czystości wody;</w:t>
            </w:r>
          </w:p>
        </w:tc>
      </w:tr>
      <w:tr w:rsidR="007C522E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opisuje budowę cząsteczki wody;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bada zdolność do rozpuszczania się różnych substancji w wodzie;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podaje przykłady substancji, które rozpuszczają się w wodzie, tworząc roztwory właściwe;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podaje przykłady substancji, które nie rozpuszczają się w wodzie, tworząc koloidy i zawiesiny;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wymienia czynniki wpływające na szybkość rozpuszczania substancji stałych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wodzie;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wyjaśnia, dlaczego woda dla jednych substancji jest rozpuszczalnikiem, a dla innych nie;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planuje i wykonuje doświadczenia wykazujące wpływ różnych czynników na szybkość rozpuszczania substancji stałych w wodzie;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opisuje, w jaki sposób można odróżnić roztwory właściwe od koloidów;</w:t>
            </w:r>
          </w:p>
        </w:tc>
      </w:tr>
      <w:tr w:rsidR="007C522E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definiuje wielkość fizyczną – rozpuszczalność; podaje jednostkę, w jakiej jest wyrażona, oraz parametry (temperaturę i ciśnienie dla gazów, temperaturę dla substancji stałych i ciekłych);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rysuje i interpretuje krzywe rozpuszczalności;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charakteryzuje roztwór nasycony, nienasycony i przesycony; wskazuje odpowiadające im punkty na wykresie rozpuszczalności;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wykonuje proste obliczenia dotyczące ilości substancji, jaką można rozpuścić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określonej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ilości wody we wskazanej temperaturze;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porównuje zależności rozpuszczalności ciał stałych i gazów od temperatury;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wyjaśnia, w jaki sposób z roztworu nasyconego można otrzymać roztwór nienasycony i odwrotnie;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wykonuje obliczenia dotyczące ilości substancji, jaka może się strącić po oziębieniu roztworu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nasycanego;</w:t>
            </w:r>
          </w:p>
        </w:tc>
      </w:tr>
      <w:tr w:rsidR="007C522E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wymienia wielkości charakteryzujące roztwór oraz podaje ich symboliczne oznaczenie;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interpretuje treść zadania: odczytuje i zapisuje podane i szukane wielkości;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rozwiązuje proste zadania polegające na wyznaczeniu jednej z wielkości </w:t>
            </w:r>
            <w:proofErr w:type="spellStart"/>
            <w:r w:rsidRPr="007C522E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s</w:t>
            </w:r>
            <w:proofErr w:type="spellEnd"/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522E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r</w:t>
            </w:r>
            <w:proofErr w:type="spellEnd"/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522E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rozp</w:t>
            </w:r>
            <w:proofErr w:type="spellEnd"/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.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7C522E"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p</w:t>
            </w:r>
            <w:proofErr w:type="spellEnd"/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mając pozostałe dane;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oblicza stężenie procentowe roztworu nas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yconego w danej temperaturze (z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wykorzystaniem wykresu rozpuszczalności);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wyjaśnia, na czym polega proces rozcieńczania i zatężania roztworu.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oblicza stężenie procentowe roztworu powstałego w wyniku rozcieńczenia lub zatężenia roztworu;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posługuje się pojęciem gęstości rozpuszczalnika lub roztworu w celu wyznaczenia masy rozpuszczalnika lub masy roztworu;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oblicza stężenie procentowe roztworu powstałego w wyniku zmieszania określonych ilości roztworów o znanym stężeniu;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oblicza rozpuszczalność substancji w danej temperaturze, znając stężenie procentowe jej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roztworu nasyconego w tej temperaturze.</w:t>
            </w:r>
          </w:p>
        </w:tc>
      </w:tr>
    </w:tbl>
    <w:p w:rsidR="004628A0" w:rsidRPr="004628A0" w:rsidRDefault="004628A0" w:rsidP="007C522E">
      <w:pPr>
        <w:pStyle w:val="tytul1"/>
        <w:ind w:left="-567"/>
        <w:rPr>
          <w:rFonts w:ascii="Arial" w:hAnsi="Arial" w:cs="Arial"/>
          <w:sz w:val="36"/>
        </w:rPr>
      </w:pPr>
    </w:p>
    <w:sectPr w:rsidR="004628A0" w:rsidRPr="004628A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90E" w:rsidRDefault="00FB290E" w:rsidP="00285D6F">
      <w:pPr>
        <w:spacing w:after="0" w:line="240" w:lineRule="auto"/>
      </w:pPr>
      <w:r>
        <w:separator/>
      </w:r>
    </w:p>
  </w:endnote>
  <w:endnote w:type="continuationSeparator" w:id="0">
    <w:p w:rsidR="00FB290E" w:rsidRDefault="00FB290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FrankfurtGothic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ankfurtGothic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B4" w:rsidRDefault="0008395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083956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962EB4">
      <w:rPr>
        <w:b/>
        <w:color w:val="003892"/>
      </w:rPr>
      <w:t xml:space="preserve"> </w:t>
    </w:r>
    <w:r w:rsidR="00962EB4" w:rsidRPr="009E0F62">
      <w:rPr>
        <w:b/>
        <w:color w:val="003892"/>
      </w:rPr>
      <w:t>AUTOR:</w:t>
    </w:r>
    <w:r w:rsidR="00962EB4" w:rsidRPr="00285D6F">
      <w:rPr>
        <w:color w:val="003892"/>
      </w:rPr>
      <w:t xml:space="preserve"> </w:t>
    </w:r>
    <w:r w:rsidR="00962EB4">
      <w:t>A</w:t>
    </w:r>
    <w:r w:rsidR="00962EB4" w:rsidRPr="003E7A3E">
      <w:t xml:space="preserve">nna </w:t>
    </w:r>
    <w:r w:rsidR="00962EB4">
      <w:t>Warchoł</w:t>
    </w:r>
  </w:p>
  <w:p w:rsidR="00962EB4" w:rsidRDefault="00083956" w:rsidP="00EE01FE">
    <w:pPr>
      <w:pStyle w:val="Stopka"/>
      <w:tabs>
        <w:tab w:val="clear" w:pos="9072"/>
        <w:tab w:val="right" w:pos="9639"/>
      </w:tabs>
      <w:ind w:left="-567" w:right="1"/>
    </w:pPr>
    <w:r w:rsidRPr="00083956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962EB4" w:rsidRDefault="00962EB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62EB4" w:rsidRDefault="00083956" w:rsidP="009130E5">
    <w:pPr>
      <w:pStyle w:val="Stopka"/>
      <w:ind w:left="-1417"/>
      <w:jc w:val="center"/>
    </w:pPr>
    <w:r>
      <w:fldChar w:fldCharType="begin"/>
    </w:r>
    <w:r w:rsidR="00962EB4">
      <w:instrText>PAGE   \* MERGEFORMAT</w:instrText>
    </w:r>
    <w:r>
      <w:fldChar w:fldCharType="separate"/>
    </w:r>
    <w:r w:rsidR="002D4A25">
      <w:rPr>
        <w:noProof/>
      </w:rPr>
      <w:t>1</w:t>
    </w:r>
    <w:r>
      <w:fldChar w:fldCharType="end"/>
    </w:r>
  </w:p>
  <w:p w:rsidR="00962EB4" w:rsidRPr="00285D6F" w:rsidRDefault="00962EB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90E" w:rsidRDefault="00FB290E" w:rsidP="00285D6F">
      <w:pPr>
        <w:spacing w:after="0" w:line="240" w:lineRule="auto"/>
      </w:pPr>
      <w:r>
        <w:separator/>
      </w:r>
    </w:p>
  </w:footnote>
  <w:footnote w:type="continuationSeparator" w:id="0">
    <w:p w:rsidR="00FB290E" w:rsidRDefault="00FB290E" w:rsidP="00285D6F">
      <w:pPr>
        <w:spacing w:after="0" w:line="240" w:lineRule="auto"/>
      </w:pPr>
      <w:r>
        <w:continuationSeparator/>
      </w:r>
    </w:p>
  </w:footnote>
  <w:footnote w:id="1">
    <w:p w:rsidR="004628A0" w:rsidRPr="00014890" w:rsidRDefault="004628A0" w:rsidP="004628A0">
      <w:pPr>
        <w:pStyle w:val="Przypis"/>
        <w:ind w:left="-567" w:firstLine="0"/>
        <w:jc w:val="left"/>
        <w:rPr>
          <w:rFonts w:ascii="Myriad Pro" w:hAnsi="Myriad Pro"/>
        </w:rPr>
      </w:pPr>
      <w:r w:rsidRPr="00014890">
        <w:rPr>
          <w:rFonts w:ascii="Myriad Pro" w:hAnsi="Myriad Pro"/>
          <w:vertAlign w:val="superscript"/>
        </w:rPr>
        <w:footnoteRef/>
      </w:r>
      <w:r w:rsidRPr="00014890">
        <w:rPr>
          <w:rFonts w:ascii="Myriad Pro" w:hAnsi="Myriad Pro"/>
        </w:rPr>
        <w:t> </w:t>
      </w:r>
      <w:r w:rsidRPr="00014890">
        <w:rPr>
          <w:rFonts w:ascii="Myriad Pro" w:hAnsi="Myriad Pro"/>
        </w:rPr>
        <w:t xml:space="preserve"> R. </w:t>
      </w:r>
      <w:proofErr w:type="spellStart"/>
      <w:r w:rsidRPr="00014890">
        <w:rPr>
          <w:rFonts w:ascii="Myriad Pro" w:hAnsi="Myriad Pro"/>
        </w:rPr>
        <w:t>Arends</w:t>
      </w:r>
      <w:proofErr w:type="spellEnd"/>
      <w:r w:rsidRPr="00014890">
        <w:rPr>
          <w:rFonts w:ascii="Myriad Pro" w:hAnsi="Myriad Pro"/>
        </w:rPr>
        <w:t xml:space="preserve">, </w:t>
      </w:r>
      <w:r w:rsidRPr="00014890">
        <w:rPr>
          <w:rFonts w:ascii="Myriad Pro" w:hAnsi="Myriad Pro" w:cs="FrankfurtGothic Italic"/>
          <w:i/>
          <w:iCs/>
        </w:rPr>
        <w:t xml:space="preserve">Uczymy się nauczać, </w:t>
      </w:r>
      <w:r w:rsidRPr="00014890">
        <w:rPr>
          <w:rFonts w:ascii="Myriad Pro" w:hAnsi="Myriad Pro"/>
        </w:rPr>
        <w:t>Warszawa 1998.</w:t>
      </w:r>
    </w:p>
  </w:footnote>
  <w:footnote w:id="2">
    <w:p w:rsidR="004628A0" w:rsidRPr="00014890" w:rsidRDefault="004628A0" w:rsidP="004628A0">
      <w:pPr>
        <w:pStyle w:val="Przypis"/>
        <w:ind w:left="-567" w:firstLine="0"/>
        <w:jc w:val="left"/>
        <w:rPr>
          <w:rFonts w:ascii="Myriad Pro" w:hAnsi="Myriad Pro"/>
        </w:rPr>
      </w:pPr>
      <w:r w:rsidRPr="00014890">
        <w:rPr>
          <w:rFonts w:ascii="Myriad Pro" w:hAnsi="Myriad Pro"/>
          <w:vertAlign w:val="superscript"/>
        </w:rPr>
        <w:footnoteRef/>
      </w:r>
      <w:r w:rsidRPr="00014890">
        <w:rPr>
          <w:rFonts w:ascii="Myriad Pro" w:hAnsi="Myriad Pro"/>
        </w:rPr>
        <w:t> </w:t>
      </w:r>
      <w:r w:rsidRPr="00014890">
        <w:rPr>
          <w:rFonts w:ascii="Myriad Pro" w:hAnsi="Myriad Pro"/>
        </w:rPr>
        <w:t xml:space="preserve"> B. </w:t>
      </w:r>
      <w:proofErr w:type="spellStart"/>
      <w:r w:rsidRPr="00014890">
        <w:rPr>
          <w:rFonts w:ascii="Myriad Pro" w:hAnsi="Myriad Pro"/>
        </w:rPr>
        <w:t>Niemierko</w:t>
      </w:r>
      <w:proofErr w:type="spellEnd"/>
      <w:r w:rsidRPr="00014890">
        <w:rPr>
          <w:rFonts w:ascii="Myriad Pro" w:hAnsi="Myriad Pro"/>
        </w:rPr>
        <w:t xml:space="preserve">, </w:t>
      </w:r>
      <w:r w:rsidRPr="00014890">
        <w:rPr>
          <w:rFonts w:ascii="Myriad Pro" w:hAnsi="Myriad Pro" w:cs="FrankfurtGothic Italic"/>
          <w:i/>
          <w:iCs/>
        </w:rPr>
        <w:t>Pomiar sprawdzający w dydaktyce. Teoria i zastosowanie,</w:t>
      </w:r>
      <w:r w:rsidRPr="00014890">
        <w:rPr>
          <w:rFonts w:ascii="Myriad Pro" w:hAnsi="Myriad Pro"/>
        </w:rPr>
        <w:t xml:space="preserve"> Warszawa 1990.</w:t>
      </w:r>
    </w:p>
    <w:p w:rsidR="004628A0" w:rsidRDefault="004628A0" w:rsidP="004628A0">
      <w:pPr>
        <w:pStyle w:val="Przypis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B4" w:rsidRDefault="00962EB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2EB4" w:rsidRDefault="00962EB4" w:rsidP="00435B7E">
    <w:pPr>
      <w:pStyle w:val="Nagwek"/>
      <w:tabs>
        <w:tab w:val="clear" w:pos="9072"/>
      </w:tabs>
      <w:ind w:left="142" w:right="142"/>
    </w:pPr>
  </w:p>
  <w:p w:rsidR="00962EB4" w:rsidRDefault="00962EB4" w:rsidP="00435B7E">
    <w:pPr>
      <w:pStyle w:val="Nagwek"/>
      <w:tabs>
        <w:tab w:val="clear" w:pos="9072"/>
      </w:tabs>
      <w:ind w:left="142" w:right="142"/>
    </w:pPr>
  </w:p>
  <w:p w:rsidR="00962EB4" w:rsidRDefault="00962EB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Chemia</w:t>
    </w:r>
    <w:r w:rsidRPr="00970293">
      <w:rPr>
        <w:b/>
        <w:color w:val="F09120"/>
      </w:rPr>
      <w:t xml:space="preserve"> </w:t>
    </w:r>
    <w:r>
      <w:t>| Świat chemii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tab/>
    </w:r>
    <w:r>
      <w:tab/>
      <w:t xml:space="preserve">    </w:t>
    </w:r>
    <w:r w:rsidR="004628A0">
      <w:t xml:space="preserve">      Plan wynikowy</w:t>
    </w:r>
    <w:r>
      <w:rPr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4F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D5E45"/>
    <w:multiLevelType w:val="hybridMultilevel"/>
    <w:tmpl w:val="96CA4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D2186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FD61E3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1F678F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2E250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A4496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C0792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5D20BA0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75B530B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264C28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0012A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140E1C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8F617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22000A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28521A6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2ED4B2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31E224C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01481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7C33D1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9E182F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A0A221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A624C1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AB003F2"/>
    <w:multiLevelType w:val="hybridMultilevel"/>
    <w:tmpl w:val="B73AC6E8"/>
    <w:lvl w:ilvl="0" w:tplc="57DA9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D904B0C"/>
    <w:multiLevelType w:val="hybridMultilevel"/>
    <w:tmpl w:val="39C228EC"/>
    <w:lvl w:ilvl="0" w:tplc="5E927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F291AF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02A1E99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26A762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3227C0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5544CCD"/>
    <w:multiLevelType w:val="hybridMultilevel"/>
    <w:tmpl w:val="96CA4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64015F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7912E6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7A92C4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BF2123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EB762B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F4F1CF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2772F1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87454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8664DC9"/>
    <w:multiLevelType w:val="hybridMultilevel"/>
    <w:tmpl w:val="34B091EA"/>
    <w:lvl w:ilvl="0" w:tplc="642A0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0778E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9A06C3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AA805E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B306E0F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C21008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D534EB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D691A1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F236784"/>
    <w:multiLevelType w:val="hybridMultilevel"/>
    <w:tmpl w:val="BB5AE2C0"/>
    <w:lvl w:ilvl="0" w:tplc="912A74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F283108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F54476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0BE7A5C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17D1F45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413554C"/>
    <w:multiLevelType w:val="hybridMultilevel"/>
    <w:tmpl w:val="B66CE228"/>
    <w:lvl w:ilvl="0" w:tplc="BE766C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5592958"/>
    <w:multiLevelType w:val="hybridMultilevel"/>
    <w:tmpl w:val="30C8BE02"/>
    <w:lvl w:ilvl="0" w:tplc="D74AC7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605769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6D81F1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6F61821"/>
    <w:multiLevelType w:val="hybridMultilevel"/>
    <w:tmpl w:val="C07E5D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6">
    <w:nsid w:val="47792A2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87F6A95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9CA02CD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A5D191D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C884C6D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CE06093"/>
    <w:multiLevelType w:val="hybridMultilevel"/>
    <w:tmpl w:val="B66CE228"/>
    <w:lvl w:ilvl="0" w:tplc="BE766C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EF711D7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0632F1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1002B0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35A7B2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5D75158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7CE3F9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8D65B4B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98C0A27"/>
    <w:multiLevelType w:val="hybridMultilevel"/>
    <w:tmpl w:val="51FA76F6"/>
    <w:lvl w:ilvl="0" w:tplc="04150015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>
    <w:nsid w:val="5D072EE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E4128A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EF938C5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F56383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2A6434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3E76B15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5914888"/>
    <w:multiLevelType w:val="hybridMultilevel"/>
    <w:tmpl w:val="39C228EC"/>
    <w:lvl w:ilvl="0" w:tplc="5E927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85C67C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BB30131"/>
    <w:multiLevelType w:val="hybridMultilevel"/>
    <w:tmpl w:val="4C1C6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8E599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DD143F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F335730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26E33F0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3584F88"/>
    <w:multiLevelType w:val="hybridMultilevel"/>
    <w:tmpl w:val="C3DA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42C1025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45065EF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68F1D7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72B0BA4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B402B33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BA41360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C883AA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CA17A66"/>
    <w:multiLevelType w:val="hybridMultilevel"/>
    <w:tmpl w:val="B66CE228"/>
    <w:lvl w:ilvl="0" w:tplc="BE766C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7D016609"/>
    <w:multiLevelType w:val="hybridMultilevel"/>
    <w:tmpl w:val="34B091EA"/>
    <w:lvl w:ilvl="0" w:tplc="642A0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DF57A33"/>
    <w:multiLevelType w:val="hybridMultilevel"/>
    <w:tmpl w:val="CFACAA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84"/>
  </w:num>
  <w:num w:numId="4">
    <w:abstractNumId w:val="83"/>
  </w:num>
  <w:num w:numId="5">
    <w:abstractNumId w:val="46"/>
  </w:num>
  <w:num w:numId="6">
    <w:abstractNumId w:val="76"/>
  </w:num>
  <w:num w:numId="7">
    <w:abstractNumId w:val="3"/>
  </w:num>
  <w:num w:numId="8">
    <w:abstractNumId w:val="78"/>
  </w:num>
  <w:num w:numId="9">
    <w:abstractNumId w:val="26"/>
  </w:num>
  <w:num w:numId="10">
    <w:abstractNumId w:val="24"/>
  </w:num>
  <w:num w:numId="11">
    <w:abstractNumId w:val="57"/>
  </w:num>
  <w:num w:numId="12">
    <w:abstractNumId w:val="82"/>
  </w:num>
  <w:num w:numId="13">
    <w:abstractNumId w:val="23"/>
  </w:num>
  <w:num w:numId="14">
    <w:abstractNumId w:val="87"/>
  </w:num>
  <w:num w:numId="15">
    <w:abstractNumId w:val="47"/>
  </w:num>
  <w:num w:numId="16">
    <w:abstractNumId w:val="39"/>
  </w:num>
  <w:num w:numId="17">
    <w:abstractNumId w:val="65"/>
  </w:num>
  <w:num w:numId="18">
    <w:abstractNumId w:val="4"/>
  </w:num>
  <w:num w:numId="19">
    <w:abstractNumId w:val="31"/>
  </w:num>
  <w:num w:numId="20">
    <w:abstractNumId w:val="13"/>
  </w:num>
  <w:num w:numId="21">
    <w:abstractNumId w:val="19"/>
  </w:num>
  <w:num w:numId="22">
    <w:abstractNumId w:val="91"/>
  </w:num>
  <w:num w:numId="23">
    <w:abstractNumId w:val="18"/>
  </w:num>
  <w:num w:numId="24">
    <w:abstractNumId w:val="75"/>
  </w:num>
  <w:num w:numId="25">
    <w:abstractNumId w:val="11"/>
  </w:num>
  <w:num w:numId="26">
    <w:abstractNumId w:val="90"/>
  </w:num>
  <w:num w:numId="27">
    <w:abstractNumId w:val="43"/>
  </w:num>
  <w:num w:numId="28">
    <w:abstractNumId w:val="44"/>
  </w:num>
  <w:num w:numId="29">
    <w:abstractNumId w:val="37"/>
  </w:num>
  <w:num w:numId="30">
    <w:abstractNumId w:val="5"/>
  </w:num>
  <w:num w:numId="31">
    <w:abstractNumId w:val="40"/>
  </w:num>
  <w:num w:numId="32">
    <w:abstractNumId w:val="7"/>
  </w:num>
  <w:num w:numId="33">
    <w:abstractNumId w:val="60"/>
  </w:num>
  <w:num w:numId="34">
    <w:abstractNumId w:val="51"/>
  </w:num>
  <w:num w:numId="35">
    <w:abstractNumId w:val="50"/>
  </w:num>
  <w:num w:numId="36">
    <w:abstractNumId w:val="28"/>
  </w:num>
  <w:num w:numId="37">
    <w:abstractNumId w:val="15"/>
  </w:num>
  <w:num w:numId="38">
    <w:abstractNumId w:val="17"/>
  </w:num>
  <w:num w:numId="39">
    <w:abstractNumId w:val="62"/>
  </w:num>
  <w:num w:numId="40">
    <w:abstractNumId w:val="2"/>
  </w:num>
  <w:num w:numId="41">
    <w:abstractNumId w:val="88"/>
  </w:num>
  <w:num w:numId="42">
    <w:abstractNumId w:val="20"/>
  </w:num>
  <w:num w:numId="43">
    <w:abstractNumId w:val="16"/>
  </w:num>
  <w:num w:numId="44">
    <w:abstractNumId w:val="34"/>
  </w:num>
  <w:num w:numId="45">
    <w:abstractNumId w:val="10"/>
  </w:num>
  <w:num w:numId="46">
    <w:abstractNumId w:val="58"/>
  </w:num>
  <w:num w:numId="47">
    <w:abstractNumId w:val="54"/>
  </w:num>
  <w:num w:numId="48">
    <w:abstractNumId w:val="70"/>
  </w:num>
  <w:num w:numId="49">
    <w:abstractNumId w:val="48"/>
  </w:num>
  <w:num w:numId="50">
    <w:abstractNumId w:val="22"/>
  </w:num>
  <w:num w:numId="51">
    <w:abstractNumId w:val="30"/>
  </w:num>
  <w:num w:numId="52">
    <w:abstractNumId w:val="85"/>
  </w:num>
  <w:num w:numId="53">
    <w:abstractNumId w:val="0"/>
  </w:num>
  <w:num w:numId="54">
    <w:abstractNumId w:val="36"/>
  </w:num>
  <w:num w:numId="55">
    <w:abstractNumId w:val="81"/>
  </w:num>
  <w:num w:numId="56">
    <w:abstractNumId w:val="41"/>
  </w:num>
  <w:num w:numId="57">
    <w:abstractNumId w:val="52"/>
  </w:num>
  <w:num w:numId="58">
    <w:abstractNumId w:val="74"/>
  </w:num>
  <w:num w:numId="59">
    <w:abstractNumId w:val="38"/>
  </w:num>
  <w:num w:numId="60">
    <w:abstractNumId w:val="55"/>
  </w:num>
  <w:num w:numId="61">
    <w:abstractNumId w:val="77"/>
  </w:num>
  <w:num w:numId="62">
    <w:abstractNumId w:val="92"/>
  </w:num>
  <w:num w:numId="63">
    <w:abstractNumId w:val="86"/>
  </w:num>
  <w:num w:numId="64">
    <w:abstractNumId w:val="71"/>
  </w:num>
  <w:num w:numId="65">
    <w:abstractNumId w:val="45"/>
  </w:num>
  <w:num w:numId="66">
    <w:abstractNumId w:val="72"/>
  </w:num>
  <w:num w:numId="67">
    <w:abstractNumId w:val="89"/>
  </w:num>
  <w:num w:numId="68">
    <w:abstractNumId w:val="73"/>
  </w:num>
  <w:num w:numId="69">
    <w:abstractNumId w:val="53"/>
  </w:num>
  <w:num w:numId="70">
    <w:abstractNumId w:val="8"/>
  </w:num>
  <w:num w:numId="71">
    <w:abstractNumId w:val="14"/>
  </w:num>
  <w:num w:numId="72">
    <w:abstractNumId w:val="79"/>
  </w:num>
  <w:num w:numId="73">
    <w:abstractNumId w:val="42"/>
  </w:num>
  <w:num w:numId="74">
    <w:abstractNumId w:val="59"/>
  </w:num>
  <w:num w:numId="75">
    <w:abstractNumId w:val="35"/>
  </w:num>
  <w:num w:numId="76">
    <w:abstractNumId w:val="61"/>
  </w:num>
  <w:num w:numId="77">
    <w:abstractNumId w:val="27"/>
  </w:num>
  <w:num w:numId="78">
    <w:abstractNumId w:val="6"/>
  </w:num>
  <w:num w:numId="79">
    <w:abstractNumId w:val="80"/>
  </w:num>
  <w:num w:numId="80">
    <w:abstractNumId w:val="63"/>
  </w:num>
  <w:num w:numId="81">
    <w:abstractNumId w:val="32"/>
  </w:num>
  <w:num w:numId="82">
    <w:abstractNumId w:val="9"/>
  </w:num>
  <w:num w:numId="83">
    <w:abstractNumId w:val="64"/>
  </w:num>
  <w:num w:numId="84">
    <w:abstractNumId w:val="33"/>
  </w:num>
  <w:num w:numId="85">
    <w:abstractNumId w:val="67"/>
  </w:num>
  <w:num w:numId="86">
    <w:abstractNumId w:val="21"/>
  </w:num>
  <w:num w:numId="87">
    <w:abstractNumId w:val="25"/>
  </w:num>
  <w:num w:numId="88">
    <w:abstractNumId w:val="56"/>
  </w:num>
  <w:num w:numId="89">
    <w:abstractNumId w:val="68"/>
  </w:num>
  <w:num w:numId="90">
    <w:abstractNumId w:val="49"/>
  </w:num>
  <w:num w:numId="91">
    <w:abstractNumId w:val="66"/>
  </w:num>
  <w:num w:numId="92">
    <w:abstractNumId w:val="12"/>
  </w:num>
  <w:num w:numId="93">
    <w:abstractNumId w:val="69"/>
  </w:num>
  <w:num w:numId="94">
    <w:abstractNumId w:val="93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23DB"/>
    <w:rsid w:val="00083956"/>
    <w:rsid w:val="000D289A"/>
    <w:rsid w:val="00134129"/>
    <w:rsid w:val="001D670D"/>
    <w:rsid w:val="001E4CB0"/>
    <w:rsid w:val="001F0820"/>
    <w:rsid w:val="0021174E"/>
    <w:rsid w:val="00215ABA"/>
    <w:rsid w:val="00224ECB"/>
    <w:rsid w:val="00245DA5"/>
    <w:rsid w:val="00281509"/>
    <w:rsid w:val="00285D6F"/>
    <w:rsid w:val="00295B93"/>
    <w:rsid w:val="002D4A25"/>
    <w:rsid w:val="002F1910"/>
    <w:rsid w:val="00310FBC"/>
    <w:rsid w:val="00317434"/>
    <w:rsid w:val="003572A4"/>
    <w:rsid w:val="003A1D5C"/>
    <w:rsid w:val="003B1102"/>
    <w:rsid w:val="003B16E4"/>
    <w:rsid w:val="003B19DC"/>
    <w:rsid w:val="003D2FED"/>
    <w:rsid w:val="003E5ACB"/>
    <w:rsid w:val="003E7A3E"/>
    <w:rsid w:val="00404AC7"/>
    <w:rsid w:val="004171BD"/>
    <w:rsid w:val="00435B7E"/>
    <w:rsid w:val="004406E5"/>
    <w:rsid w:val="00441D8D"/>
    <w:rsid w:val="0045395D"/>
    <w:rsid w:val="004617B8"/>
    <w:rsid w:val="004628A0"/>
    <w:rsid w:val="00473218"/>
    <w:rsid w:val="004905F8"/>
    <w:rsid w:val="004C333A"/>
    <w:rsid w:val="005008CA"/>
    <w:rsid w:val="00547432"/>
    <w:rsid w:val="00550144"/>
    <w:rsid w:val="005564AF"/>
    <w:rsid w:val="00592B22"/>
    <w:rsid w:val="005A6627"/>
    <w:rsid w:val="005F1B34"/>
    <w:rsid w:val="00602ABB"/>
    <w:rsid w:val="00610CA5"/>
    <w:rsid w:val="00671FDB"/>
    <w:rsid w:val="00672759"/>
    <w:rsid w:val="006B5810"/>
    <w:rsid w:val="006B7E91"/>
    <w:rsid w:val="006F4D47"/>
    <w:rsid w:val="00700EB3"/>
    <w:rsid w:val="00762E2E"/>
    <w:rsid w:val="00782567"/>
    <w:rsid w:val="007B3CB5"/>
    <w:rsid w:val="007C1403"/>
    <w:rsid w:val="007C522E"/>
    <w:rsid w:val="007D22FB"/>
    <w:rsid w:val="00820F4C"/>
    <w:rsid w:val="0083577E"/>
    <w:rsid w:val="00840B03"/>
    <w:rsid w:val="008648E0"/>
    <w:rsid w:val="0086546A"/>
    <w:rsid w:val="0087554E"/>
    <w:rsid w:val="0089186E"/>
    <w:rsid w:val="008C2636"/>
    <w:rsid w:val="008F1CCE"/>
    <w:rsid w:val="008F2FA5"/>
    <w:rsid w:val="009130E5"/>
    <w:rsid w:val="00914856"/>
    <w:rsid w:val="00962EB4"/>
    <w:rsid w:val="00970293"/>
    <w:rsid w:val="00974649"/>
    <w:rsid w:val="009E0F62"/>
    <w:rsid w:val="009E1127"/>
    <w:rsid w:val="00A211C1"/>
    <w:rsid w:val="00A23496"/>
    <w:rsid w:val="00A239DF"/>
    <w:rsid w:val="00A25A62"/>
    <w:rsid w:val="00A44F50"/>
    <w:rsid w:val="00A5460F"/>
    <w:rsid w:val="00A5798A"/>
    <w:rsid w:val="00AB49BA"/>
    <w:rsid w:val="00AB5934"/>
    <w:rsid w:val="00AC5139"/>
    <w:rsid w:val="00AD3129"/>
    <w:rsid w:val="00B101AE"/>
    <w:rsid w:val="00B22980"/>
    <w:rsid w:val="00B44FC3"/>
    <w:rsid w:val="00B50948"/>
    <w:rsid w:val="00B51177"/>
    <w:rsid w:val="00B63701"/>
    <w:rsid w:val="00B85C47"/>
    <w:rsid w:val="00BA4010"/>
    <w:rsid w:val="00BB090F"/>
    <w:rsid w:val="00BD56A6"/>
    <w:rsid w:val="00BE1DFF"/>
    <w:rsid w:val="00C0734D"/>
    <w:rsid w:val="00D072CF"/>
    <w:rsid w:val="00D169BB"/>
    <w:rsid w:val="00D22D55"/>
    <w:rsid w:val="00D336DC"/>
    <w:rsid w:val="00D3760D"/>
    <w:rsid w:val="00DB764A"/>
    <w:rsid w:val="00E21AB3"/>
    <w:rsid w:val="00E94882"/>
    <w:rsid w:val="00EA14FC"/>
    <w:rsid w:val="00EA5CF7"/>
    <w:rsid w:val="00EC12C2"/>
    <w:rsid w:val="00EE01FE"/>
    <w:rsid w:val="00EE2C74"/>
    <w:rsid w:val="00EF6E44"/>
    <w:rsid w:val="00F16856"/>
    <w:rsid w:val="00F557F2"/>
    <w:rsid w:val="00F55C7B"/>
    <w:rsid w:val="00F6096A"/>
    <w:rsid w:val="00F719F2"/>
    <w:rsid w:val="00F744E0"/>
    <w:rsid w:val="00F77FA2"/>
    <w:rsid w:val="00FB011B"/>
    <w:rsid w:val="00FB290E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648A-B2C3-4F63-B0A0-4EE31BC1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2950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Ekonomik</cp:lastModifiedBy>
  <cp:revision>2</cp:revision>
  <cp:lastPrinted>2017-04-26T11:04:00Z</cp:lastPrinted>
  <dcterms:created xsi:type="dcterms:W3CDTF">2020-05-28T07:42:00Z</dcterms:created>
  <dcterms:modified xsi:type="dcterms:W3CDTF">2020-05-28T07:42:00Z</dcterms:modified>
</cp:coreProperties>
</file>